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60.png" ContentType="image/png"/>
  <Override PartName="/word/media/rId170.png" ContentType="image/png"/>
  <Override PartName="/word/media/rId16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p>
      <w:pPr>
        <w:pStyle w:val="FirstParagraph"/>
      </w:pPr>
      <w:r>
        <w:t xml:space="preserve">will write this later…should take me 20 minutes</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154af5ffdb2f3095ae955505151268023f3ff9a"/>
    <w:p>
      <w:pPr>
        <w:pStyle w:val="Heading3"/>
      </w:pPr>
      <w:r>
        <w:rPr>
          <w:iCs/>
          <w:i/>
        </w:rPr>
        <w:t xml:space="preserve">Reduced variation in physiological rates in terrestrial ectotherms</w:t>
      </w:r>
    </w:p>
    <w:p>
      <w:pPr>
        <w:pStyle w:val="FirstParagraph"/>
      </w:pPr>
      <w:r>
        <w:t xml:space="preserve">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8</w:t>
        </w:r>
      </w:hyperlink>
      <w:r>
        <w:t xml:space="preserve"> </w:t>
      </w:r>
      <w:r>
        <w:t xml:space="preserve">D). However, out of the 188 populations variance was predicted to decrease in 94.15%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0.58% change in variance for freshwater systems (95% CI: -8.53 to 8.4%,</w:t>
      </w:r>
      <w:r>
        <w:t xml:space="preserve"> </w:t>
      </w:r>
      <m:oMath>
        <m:sSub>
          <m:e>
            <m:r>
              <m:t>p</m:t>
            </m:r>
          </m:e>
          <m:sub>
            <m:r>
              <m:t>M</m:t>
            </m:r>
            <m:r>
              <m:t>C</m:t>
            </m:r>
            <m:r>
              <m:t>M</m:t>
            </m:r>
            <m:r>
              <m:t>C</m:t>
            </m:r>
          </m:sub>
        </m:sSub>
      </m:oMath>
      <w:r>
        <w:t xml:space="preserve"> </w:t>
      </w:r>
      <w:r>
        <w:t xml:space="preserve">= 0.87), whereas we expect a 3.9% reduction in variance for marine systems (95% CI: -8.13 to 2.24%,</w:t>
      </w:r>
      <w:r>
        <w:t xml:space="preserve"> </w:t>
      </w:r>
      <m:oMath>
        <m:sSub>
          <m:e>
            <m:r>
              <m:t>p</m:t>
            </m:r>
          </m:e>
          <m:sub>
            <m:r>
              <m:t>M</m:t>
            </m:r>
            <m:r>
              <m:t>C</m:t>
            </m:r>
            <m:r>
              <m:t>M</m:t>
            </m:r>
            <m:r>
              <m:t>C</m:t>
            </m:r>
          </m:sub>
        </m:sSub>
      </m:oMath>
      <w:r>
        <w:t xml:space="preserve"> </w:t>
      </w:r>
      <w:r>
        <w:t xml:space="preserve">= 0.34) and a 12.77% reduction in variance for terrestrial systems (95% CI: -20.93 to -6.24%,</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6"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w:t>
      </w:r>
      <w:r>
        <w:rPr>
          <w:iCs/>
          <w:i/>
        </w:rPr>
        <w:t xml:space="preserve">marine</w:t>
      </w:r>
      <w:r>
        <w:t xml:space="preserve">: 9% acclimation vs. 15% reduction in variance;</w:t>
      </w:r>
      <w:r>
        <w:t xml:space="preserve"> </w:t>
      </w:r>
      <w:r>
        <w:rPr>
          <w:iCs/>
          <w:i/>
        </w:rPr>
        <w:t xml:space="preserve">terrestrial</w:t>
      </w:r>
      <w:r>
        <w:t xml:space="preserve">: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81"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While there is substantial variation in effects across species, we show that plastic adjustments to physiological rates are, on average, rather small compared to the general reduction variance in physiological rates. Variance reductions are particularly pronouced for terrestrial ectotherms and there were no major differences between life-stages. While it is unclear the extent to which such changes in variance are heritable, we expect changes in variance of this magnitude to have an impact on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suggests that evolving plasticty in physiological rates may be hard, possibly because terrestrial ectotherms are more likely to experience more variable and unpredictable thermal environments compared to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measures of survival at different temperatures with thermal physiology across indiviudals (e.g.,</w:t>
      </w:r>
      <w:r>
        <w:t xml:space="preserve"> </w:t>
      </w:r>
      <m:oMath>
        <m:r>
          <m:t>C</m:t>
        </m:r>
        <m:sSub>
          <m:e>
            <m:r>
              <m:t>T</m:t>
            </m:r>
          </m:e>
          <m:sub>
            <m:r>
              <m:t>m</m:t>
            </m:r>
            <m:r>
              <m:t>a</m:t>
            </m:r>
            <m:r>
              <m:t>x</m:t>
            </m:r>
          </m:sub>
        </m:sSub>
      </m:oMath>
      <w:r>
        <w:t xml:space="preserve">).</w:t>
      </w:r>
    </w:p>
    <w:bookmarkEnd w:id="81"/>
    <w:bookmarkStart w:id="82" w:name="X0949d938fae8f94fb02ed8806a135ddcdae14b2"/>
    <w:p>
      <w:pPr>
        <w:pStyle w:val="Heading3"/>
      </w:pPr>
      <w:r>
        <w:rPr>
          <w:iCs/>
          <w:i/>
          <w:bCs/>
          <w:b/>
        </w:rPr>
        <w:t xml:space="preserve">Plasticity and variance in physiologcial rates do not differ between life-stages</w:t>
      </w:r>
    </w:p>
    <w:p>
      <w:pPr>
        <w:pStyle w:val="FirstParagraph"/>
      </w:pPr>
      <w:r>
        <w:t xml:space="preserve">Greater plasticity for early life-stages in development may be particularly important for dealing with the effects of climate change because early life-stages are usually particularly vulnerable periods in development</w:t>
      </w:r>
      <w:r>
        <w:t xml:space="preserve"> </w:t>
      </w:r>
      <w:r>
        <w:t xml:space="preserve">(Stearns 1976; Martin 2015)</w:t>
      </w:r>
      <w:r>
        <w:t xml:space="preserv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plasticty (or lack thereof) may differ among life-stages.</w:t>
      </w:r>
    </w:p>
    <w:bookmarkEnd w:id="82"/>
    <w:bookmarkStart w:id="83" w:name="X9cb3c3bdf428ad532aeabc3d81f6e51b344775e"/>
    <w:p>
      <w:pPr>
        <w:pStyle w:val="Heading3"/>
      </w:pPr>
      <w:r>
        <w:rPr>
          <w:iCs/>
          <w:i/>
          <w:bCs/>
          <w:b/>
        </w:rPr>
        <w:t xml:space="preserve">No signature of past climate on capacity for acclimation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in terrestrial environments, however, we did not find evidence to this effect. The lack of relationship between acclimation responses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plasticty, as the latter is expected to more likely be adaptive (</w:t>
      </w:r>
      <w:r>
        <w:t xml:space="preserve">Havird</w:t>
      </w:r>
      <w:r>
        <w:t xml:space="preserve"> </w:t>
      </w:r>
      <w:r>
        <w:rPr>
          <w:iCs/>
          <w:i/>
        </w:rPr>
        <w:t xml:space="preserve">et al.</w:t>
      </w:r>
      <w:r>
        <w:t xml:space="preserve"> </w:t>
      </w:r>
      <w:r>
        <w:t xml:space="preserve">(2020)</w:t>
      </w:r>
      <w:r>
        <w:t xml:space="preserve">).</w:t>
      </w:r>
    </w:p>
    <w:bookmarkEnd w:id="83"/>
    <w:bookmarkStart w:id="84"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substantially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reinforced by a number of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bookmarkEnd w:id="84"/>
    <w:bookmarkStart w:id="85" w:name="conclusions-and-future-directions"/>
    <w:p>
      <w:pPr>
        <w:pStyle w:val="Heading3"/>
      </w:pPr>
      <w:r>
        <w:rPr>
          <w:iCs/>
          <w:i/>
          <w:bCs/>
          <w:b/>
        </w:rPr>
        <w:t xml:space="preserve">Conclusions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w:t>
      </w:r>
      <w:r>
        <w:t xml:space="preserve"> </w:t>
      </w:r>
      <w:r>
        <w:t xml:space="preserve">(Forsman 2015)</w:t>
      </w:r>
      <w:r>
        <w:t xml:space="preserve">. Variance in physiological rates could be better incorperated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predcitions.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the flow of energy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driven by lower levels of genetic variance? Answers to these questions will require integrative approaches that combine empirical and theoretical work across multiple levels of biological organisation.</w:t>
      </w:r>
    </w:p>
    <w:bookmarkEnd w:id="85"/>
    <w:bookmarkEnd w:id="86"/>
    <w:bookmarkStart w:id="159" w:name="references"/>
    <w:p>
      <w:pPr>
        <w:pStyle w:val="Heading2"/>
      </w:pPr>
      <w:r>
        <w:t xml:space="preserve">References</w:t>
      </w:r>
    </w:p>
    <w:p>
      <w:pPr>
        <w:pStyle w:val="FirstParagraph"/>
      </w:pPr>
    </w:p>
    <w:bookmarkStart w:id="158" w:name="refs"/>
    <w:bookmarkStart w:id="87"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7"/>
    <w:bookmarkStart w:id="88"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8"/>
    <w:bookmarkStart w:id="8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9"/>
    <w:bookmarkStart w:id="9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0"/>
    <w:bookmarkStart w:id="9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1"/>
    <w:bookmarkStart w:id="92"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2"/>
    <w:bookmarkStart w:id="93"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4"/>
    <w:bookmarkStart w:id="10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5"/>
    <w:bookmarkStart w:id="10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6"/>
    <w:bookmarkStart w:id="107"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7"/>
    <w:bookmarkStart w:id="108"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8"/>
    <w:bookmarkStart w:id="109"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9"/>
    <w:bookmarkStart w:id="110"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10"/>
    <w:bookmarkStart w:id="111"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11"/>
    <w:bookmarkStart w:id="112"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2"/>
    <w:bookmarkStart w:id="11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3"/>
    <w:bookmarkStart w:id="114"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4"/>
    <w:bookmarkStart w:id="115"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5"/>
    <w:bookmarkStart w:id="116"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6"/>
    <w:bookmarkStart w:id="117"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7"/>
    <w:bookmarkStart w:id="118"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8"/>
    <w:bookmarkStart w:id="119"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19"/>
    <w:bookmarkStart w:id="120"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20"/>
    <w:bookmarkStart w:id="121"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21"/>
    <w:bookmarkStart w:id="122"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22"/>
    <w:bookmarkStart w:id="123"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3"/>
    <w:bookmarkStart w:id="124"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4"/>
    <w:bookmarkStart w:id="125"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5"/>
    <w:bookmarkStart w:id="126"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6"/>
    <w:bookmarkStart w:id="127"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7"/>
    <w:bookmarkStart w:id="128"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8"/>
    <w:bookmarkStart w:id="129"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29"/>
    <w:bookmarkStart w:id="130"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30"/>
    <w:bookmarkStart w:id="13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1"/>
    <w:bookmarkStart w:id="13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2"/>
    <w:bookmarkStart w:id="133"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3"/>
    <w:bookmarkStart w:id="134"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4"/>
    <w:bookmarkStart w:id="135"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5"/>
    <w:bookmarkStart w:id="136"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6"/>
    <w:bookmarkStart w:id="137"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7"/>
    <w:bookmarkStart w:id="138"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8"/>
    <w:bookmarkStart w:id="139"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9"/>
    <w:bookmarkStart w:id="140"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40"/>
    <w:bookmarkStart w:id="141"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1"/>
    <w:bookmarkStart w:id="142"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2"/>
    <w:bookmarkStart w:id="143"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3"/>
    <w:bookmarkStart w:id="14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4"/>
    <w:bookmarkStart w:id="145"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5"/>
    <w:bookmarkStart w:id="14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6"/>
    <w:bookmarkStart w:id="14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7"/>
    <w:bookmarkStart w:id="148"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8"/>
    <w:bookmarkStart w:id="149"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9"/>
    <w:bookmarkStart w:id="150"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50"/>
    <w:bookmarkStart w:id="151"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1"/>
    <w:bookmarkStart w:id="152"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2"/>
    <w:bookmarkStart w:id="153"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3"/>
    <w:bookmarkStart w:id="15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4"/>
    <w:bookmarkStart w:id="155"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5"/>
    <w:bookmarkStart w:id="15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6"/>
    <w:bookmarkStart w:id="157"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7"/>
    <w:bookmarkEnd w:id="158"/>
    <w:p>
      <w:pPr>
        <w:pStyle w:val="BodyText"/>
      </w:pPr>
    </w:p>
    <w:bookmarkEnd w:id="159"/>
    <w:bookmarkStart w:id="175" w:name="supplemental-results-and-figures"/>
    <w:p>
      <w:pPr>
        <w:pStyle w:val="Heading2"/>
      </w:pPr>
      <w:r>
        <w:t xml:space="preserve">Supplemental Results and Figures</w:t>
      </w:r>
    </w:p>
    <w:bookmarkStart w:id="16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3" w:name="fig-s1"/>
          <w:p>
            <w:pPr>
              <w:pStyle w:val="Figure"/>
              <w:jc w:val="center"/>
            </w:pPr>
            <w:r>
              <w:drawing>
                <wp:inline>
                  <wp:extent cx="6680200" cy="4647095"/>
                  <wp:effectExtent b="0" l="0" r="0" t="0"/>
                  <wp:docPr descr="" title="" id="161" name="Picture"/>
                  <a:graphic>
                    <a:graphicData uri="http://schemas.openxmlformats.org/drawingml/2006/picture">
                      <pic:pic>
                        <pic:nvPicPr>
                          <pic:cNvPr descr="ms_files/figure-docx/fig-s1-1.png" id="162" name="Picture"/>
                          <pic:cNvPicPr>
                            <a:picLocks noChangeArrowheads="1" noChangeAspect="1"/>
                          </pic:cNvPicPr>
                        </pic:nvPicPr>
                        <pic:blipFill>
                          <a:blip r:embed="rId16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63"/>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f38453d-428b-4d0b-947d-536603388eb7"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f38453d-428b-4d0b-947d-536603388eb7"/>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4"/>
    <w:bookmarkStart w:id="16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68" w:name="fig-s3"/>
          <w:p>
            <w:pPr>
              <w:pStyle w:val="Figure"/>
              <w:jc w:val="center"/>
            </w:pPr>
            <w:r>
              <w:drawing>
                <wp:inline>
                  <wp:extent cx="6680200" cy="2379821"/>
                  <wp:effectExtent b="0" l="0" r="0" t="0"/>
                  <wp:docPr descr="" title="" id="166" name="Picture"/>
                  <a:graphic>
                    <a:graphicData uri="http://schemas.openxmlformats.org/drawingml/2006/picture">
                      <pic:pic>
                        <pic:nvPicPr>
                          <pic:cNvPr descr="ms_files/figure-docx/fig-s3-1.png" id="167" name="Picture"/>
                          <pic:cNvPicPr>
                            <a:picLocks noChangeArrowheads="1" noChangeAspect="1"/>
                          </pic:cNvPicPr>
                        </pic:nvPicPr>
                        <pic:blipFill>
                          <a:blip r:embed="rId16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68"/>
        </w:tc>
      </w:tr>
    </w:tbl>
    <w:bookmarkEnd w:id="169"/>
    <w:bookmarkStart w:id="174"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3" w:name="fig-s2"/>
          <w:p>
            <w:pPr>
              <w:pStyle w:val="Figure"/>
              <w:jc w:val="center"/>
            </w:pPr>
            <w:r>
              <w:drawing>
                <wp:inline>
                  <wp:extent cx="6680200" cy="2788257"/>
                  <wp:effectExtent b="0" l="0" r="0" t="0"/>
                  <wp:docPr descr="" title="" id="171" name="Picture"/>
                  <a:graphic>
                    <a:graphicData uri="http://schemas.openxmlformats.org/drawingml/2006/picture">
                      <pic:pic>
                        <pic:nvPicPr>
                          <pic:cNvPr descr="ms_files/figure-docx/fig-s2-1.png" id="172" name="Picture"/>
                          <pic:cNvPicPr>
                            <a:picLocks noChangeArrowheads="1" noChangeAspect="1"/>
                          </pic:cNvPicPr>
                        </pic:nvPicPr>
                        <pic:blipFill>
                          <a:blip r:embed="rId17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3"/>
        </w:tc>
      </w:tr>
    </w:tbl>
    <w:bookmarkEnd w:id="174"/>
    <w:bookmarkEnd w:id="175"/>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60" Target="media/rId160.png" /><Relationship Type="http://schemas.openxmlformats.org/officeDocument/2006/relationships/image" Id="rId170" Target="media/rId170.png" /><Relationship Type="http://schemas.openxmlformats.org/officeDocument/2006/relationships/image" Id="rId165" Target="media/rId16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2023-12-14T02:07:48Z</dcterms:created>
  <dcterms:modified xsi:type="dcterms:W3CDTF">2023-12-14T02:07:48Z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